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7D" w:rsidRPr="00504FEB" w:rsidRDefault="00D6127D" w:rsidP="00D6127D">
      <w:pPr>
        <w:pStyle w:val="Tijeloteksta"/>
        <w:tabs>
          <w:tab w:val="left" w:pos="-142"/>
        </w:tabs>
      </w:pPr>
      <w:r w:rsidRPr="00504FEB">
        <w:t>P R I L O G:</w:t>
      </w:r>
    </w:p>
    <w:p w:rsidR="00D6127D" w:rsidRPr="00504FEB" w:rsidRDefault="00D6127D" w:rsidP="00D6127D">
      <w:pPr>
        <w:pStyle w:val="Tijeloteksta"/>
        <w:tabs>
          <w:tab w:val="left" w:pos="-142"/>
        </w:tabs>
      </w:pPr>
    </w:p>
    <w:p w:rsidR="00D6127D" w:rsidRPr="00504FEB" w:rsidRDefault="00D6127D" w:rsidP="00D6127D">
      <w:pPr>
        <w:pStyle w:val="Tijeloteksta"/>
        <w:tabs>
          <w:tab w:val="left" w:pos="-142"/>
        </w:tabs>
      </w:pPr>
      <w:r w:rsidRPr="00504FEB">
        <w:t>OSNOVNA LISTA INDIKATORA</w:t>
      </w:r>
      <w:r w:rsidR="00F95641">
        <w:t xml:space="preserve"> </w:t>
      </w:r>
    </w:p>
    <w:p w:rsidR="00D6127D" w:rsidRPr="00504FEB" w:rsidRDefault="00D6127D" w:rsidP="00D6127D">
      <w:pPr>
        <w:pStyle w:val="Tijeloteksta"/>
        <w:tabs>
          <w:tab w:val="left" w:pos="-142"/>
        </w:tabs>
      </w:pP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Osnovna lista indikatora za prepoznavanje sumnjivih transakcija i stranaka koju su revizorska društva, samostalni revizori, fizičke i pravne osobe koje obavljaju računovodstvene usluge i usluge poreznog savjetovanja dužne nadopunjavati: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tabs>
          <w:tab w:val="left" w:pos="-142"/>
        </w:tabs>
      </w:pPr>
      <w:r w:rsidRPr="00504FEB">
        <w:t>Opći indikatori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govori ili priznaje da je upletena u kaznena djelovanja,</w:t>
      </w:r>
      <w:bookmarkStart w:id="0" w:name="_GoBack"/>
      <w:bookmarkEnd w:id="0"/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ne želi da joj se pošta upućuje na adresu u zemlji,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ima račune kod različitih financijskih institucija na istom području bez pravog razloga,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je praćena ili nadzirana,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neočekivano pokazuje veliko zanimanje za sustav organiziranosti te za kontrole i politike njihovog provođenja,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je tajna i protivi se osobnom susretu,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strankin privatni ili službeni telefonski broj je isključen ili je nepostojeći,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je uključena u poslove koji nisu karakteristični za njeno poslovanje,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bez posebnog razloga ustraje za brzim izvođenjem poslova ili transakcije,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je nedavno uspostavila više poslovnih odnosa s različitim financijskim institucijama,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pokušava uspostaviti dobre i bliske odnose s osobljem,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upotrebljava različita imena ili nadimke i cijeli niz sličnih, a različitih adresa,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upotrebljava adrese poštanskih pretinaca ili druge vrste poštanskih adresa umjesto adrese ulice, što nije uobičajeno za navedeno mjesto ili područje,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nudi novac, poklone ili druge neuobičajene pogodnosti kao protuuslugu za izvođenje vidljivo neuobičajenog ili sumnjivog posla,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je pod istragom za kazneno djelo pranja novca ili financiranja terorizma,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želi uvjeriti zaposlenoga da ne ispuni neki od dokumenata koji je potreban za izvođenje posla ili transakcije,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lastRenderedPageBreak/>
        <w:t>strankino postupanje u vezi sa zahtjevom o obavještavanju ukazuje o njezinoj želji da izbjegne ispuniti ovu obavezu,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 xml:space="preserve">stanka vrlo dobro poznaje pravila o obavješćivanju o sumnjivim </w:t>
      </w:r>
      <w:proofErr w:type="spellStart"/>
      <w:r w:rsidRPr="00504FEB">
        <w:rPr>
          <w:b w:val="0"/>
          <w:bCs/>
        </w:rPr>
        <w:t>transakcijma</w:t>
      </w:r>
      <w:proofErr w:type="spellEnd"/>
      <w:r w:rsidRPr="00504FEB">
        <w:rPr>
          <w:b w:val="0"/>
          <w:bCs/>
        </w:rPr>
        <w:t>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djeluje kao da je vrlo dobro upoznata s predmetima koji se odnose na pranje novca i financiranje terorizma,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započinje sama od sebe brzo zaključivati da su sredstva «čista» i nisu «oprana».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tabs>
          <w:tab w:val="left" w:pos="-142"/>
        </w:tabs>
      </w:pPr>
      <w:r w:rsidRPr="00504FEB">
        <w:t>Identifikacijske isprave</w:t>
      </w:r>
    </w:p>
    <w:p w:rsidR="00D6127D" w:rsidRPr="00504FEB" w:rsidRDefault="00D6127D" w:rsidP="00D6127D">
      <w:pPr>
        <w:pStyle w:val="Tijeloteksta"/>
        <w:tabs>
          <w:tab w:val="left" w:pos="-142"/>
        </w:tabs>
      </w:pP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pruža sumnjive ili nejasne informacije,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podnosi na uvid neodgovarajuće isprave odnosno dokumente koji pokazuju da su krivotvoreni, preuređeni ili nepravilni,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se protivi podnošenju osobnih isprava,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prilaže samo kopije osobnih isprava,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pokušava obaviti identifikaciju s drugim ispravama koje nisu osobne isprave,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pretjerano kasni s prilaganjem dokumenata tvrtke (poduzeća),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sve identifikacijske isprave su izdane u inozemstvu, odnosno njihovu je vjerodostojnost teško provjeriti,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sve priložene identifikacijske isprave čine se novima, odnosno da su bile izdane prije kratkog vremena.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  <w:r w:rsidRPr="00504FEB">
        <w:t>Gotovinske transakcije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želi poslovati u gotovini iako to nije uobičajeno za njenu djelatnost,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 xml:space="preserve">stranka kod gotovinskih transakcija donosi veće svote </w:t>
      </w:r>
      <w:proofErr w:type="spellStart"/>
      <w:r w:rsidRPr="00504FEB">
        <w:rPr>
          <w:b w:val="0"/>
          <w:bCs/>
        </w:rPr>
        <w:t>neprebrojenog</w:t>
      </w:r>
      <w:proofErr w:type="spellEnd"/>
      <w:r w:rsidRPr="00504FEB">
        <w:rPr>
          <w:b w:val="0"/>
          <w:bCs/>
        </w:rPr>
        <w:t xml:space="preserve"> novca,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želi da obveznik čuva ili u njeno ime polaže/isplaćuje veće svote novca.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  <w:r w:rsidRPr="00504FEB">
        <w:t>Ekonomski razlozi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posao nije usklađen sa strankinim financijskim stanjem, odnosno njenim uobičajenim poslovanjem,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poslovni odnos ili transakcija nisu u skladu s uobičajenim načinom provođenja djelatnosti, odnosno nemaju ekonomsku vrijednost za stranku,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poslovni odnos ili transakcija se nepotrebno kompliciraju,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lastRenderedPageBreak/>
        <w:t>aktivnosti stranke nisu u skladu s očekivanjima u odnosu na obavljanje djelatnosti,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poslovni odnos ili transakcija uključuju (kao uzgredne članove) također i neprofitne ili dobrotvorne organizacije, a za što ne postoji pravi ekonomski razlog.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  <w:r w:rsidRPr="00504FEB">
        <w:t>Poslovni odnos ili transakcija koja uključuje druge države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i druge u posao uključene stranke nemaju vidljivih ili smislenih poslovnih ili drugih poveznica s Hrvatskom,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upotrebljava platežna sredstva koja su izdana u drugoj državi iako u toj državi ne obavlja djelatnost, odnosno nema ni stalno niti privremeno prebivalište u njoj,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poslovni odnos ili transakcija uključuju države koje su poznate po bankovnom, odnosno gospodarskom sustavu koji pojedincima ili tvrtkama omogućava visoki stupanj tajnosti ili prikrivenog djelovanja.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  <w:r w:rsidRPr="00504FEB">
        <w:t>Poslovni odnos ili transakcija vezani uz porezne oaze (</w:t>
      </w:r>
      <w:proofErr w:type="spellStart"/>
      <w:r w:rsidRPr="00504FEB">
        <w:t>offshore</w:t>
      </w:r>
      <w:proofErr w:type="spellEnd"/>
      <w:r w:rsidRPr="00504FEB">
        <w:t>)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akumuliranje većih iznosa neusklađenih s opsegom strankine poslovne aktivnosti koji su preneseni u porezne oaze,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</w:pPr>
      <w:r w:rsidRPr="00504FEB">
        <w:rPr>
          <w:b w:val="0"/>
          <w:bCs/>
        </w:rPr>
        <w:t>zajmovi s jamstvom banaka u poreznim oazama,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</w:pPr>
      <w:r w:rsidRPr="00504FEB">
        <w:rPr>
          <w:b w:val="0"/>
          <w:bCs/>
        </w:rPr>
        <w:t>dati ili preuzeti zajmovi od tvrtki u poreznim oazama,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</w:pPr>
      <w:r w:rsidRPr="00504FEB">
        <w:rPr>
          <w:b w:val="0"/>
          <w:bCs/>
        </w:rPr>
        <w:t>uporaba platežnih sredstava koja su izdale banke u poreznim oazama.</w:t>
      </w:r>
    </w:p>
    <w:p w:rsidR="00D6127D" w:rsidRPr="00504FEB" w:rsidRDefault="00D6127D" w:rsidP="00D6127D">
      <w:pPr>
        <w:pStyle w:val="Tijeloteksta"/>
        <w:tabs>
          <w:tab w:val="left" w:pos="-142"/>
        </w:tabs>
        <w:rPr>
          <w:b w:val="0"/>
          <w:bCs/>
        </w:rPr>
      </w:pPr>
    </w:p>
    <w:p w:rsidR="00D6127D" w:rsidRPr="00504FEB" w:rsidRDefault="00D6127D" w:rsidP="00D6127D">
      <w:pPr>
        <w:pStyle w:val="Tijeloteksta"/>
        <w:tabs>
          <w:tab w:val="left" w:pos="-142"/>
        </w:tabs>
      </w:pPr>
      <w:r w:rsidRPr="00504FEB">
        <w:t>Indikatori karakteristični za djelatnost revidiranja i računovodstva</w:t>
      </w:r>
    </w:p>
    <w:p w:rsidR="00D6127D" w:rsidRPr="00504FEB" w:rsidRDefault="00D6127D" w:rsidP="00D6127D">
      <w:pPr>
        <w:pStyle w:val="Tijeloteksta"/>
        <w:tabs>
          <w:tab w:val="left" w:pos="-142"/>
        </w:tabs>
      </w:pP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poslovanje stranke se bitno razlikuje od prosječnog poslovanja u struci,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živi preko svojih realnih mogućnosti,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prima plaćanja iz nepoznatih izvora,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često mijenja svoje knjigovođe odnosno računovođe,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nije sigurna u odnosu na mjesto čuvanja svojih poslovnih knjiga,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u računovodstvenim iskazima evidentira nepostojeće ili već naplaćene dugove,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nema zaposlenih, što nije uobičajeno za način njezina poslovanja,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isplaćuje neuobičajene honorare za savjetovanje u društva sa sjedištem u poreznim oazama,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neprestano posluje s gubitkom iako njeno postojanje nije ugroženo, za što ne postoje opravdani razlozi,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pregled izvornih dokumenata ukazuje na pogreške u poslovanju stranke, što pak nije moguće razabrati iz poslovnih knjiga,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isplaćuje (iskazuje) velike svote novca podređenim ili na drugi način nadziranim društvima, čije se poslovanje razlikuje od uobičajenoga poslovanja,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stranka raspolaže s opsežnom osobnom i potrošnom imovinom (plovila, luksuzni automobili, apartmani za stanovanje i rezidencije), koja ne spada u uobičajene okvire poslovanja društva odnosno struke,</w:t>
      </w:r>
    </w:p>
    <w:p w:rsidR="00D6127D" w:rsidRPr="00504FEB" w:rsidRDefault="00D6127D" w:rsidP="00D6127D">
      <w:pPr>
        <w:pStyle w:val="Tijeloteksta"/>
        <w:numPr>
          <w:ilvl w:val="0"/>
          <w:numId w:val="1"/>
        </w:numPr>
        <w:tabs>
          <w:tab w:val="left" w:pos="-142"/>
        </w:tabs>
        <w:rPr>
          <w:b w:val="0"/>
          <w:bCs/>
        </w:rPr>
      </w:pPr>
      <w:r w:rsidRPr="00504FEB">
        <w:rPr>
          <w:b w:val="0"/>
          <w:bCs/>
        </w:rPr>
        <w:t>stranci ispostavljaju račune za pružene usluge društva ili organizacije koje imaju sjedište u državama u kojima ne postoji odgovarajuće zakonodavstvo za sprječavanje pranja novca i koje su poznate kao porezne oaze, odnosno imaju bankovni sustav koji dozvoljava veliku tajnost stranaka.</w:t>
      </w:r>
    </w:p>
    <w:p w:rsidR="003E0D3F" w:rsidRDefault="003E0D3F"/>
    <w:sectPr w:rsidR="003E0D3F" w:rsidSect="008921D0">
      <w:footerReference w:type="even" r:id="rId7"/>
      <w:footerReference w:type="default" r:id="rId8"/>
      <w:pgSz w:w="12242" w:h="15842"/>
      <w:pgMar w:top="1440" w:right="1797" w:bottom="567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C5A0B">
      <w:r>
        <w:separator/>
      </w:r>
    </w:p>
  </w:endnote>
  <w:endnote w:type="continuationSeparator" w:id="0">
    <w:p w:rsidR="00000000" w:rsidRDefault="003C5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RO_Dutch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83" w:rsidRDefault="00D6127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72E83" w:rsidRDefault="003C5A0B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83" w:rsidRDefault="00D6127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C5A0B">
      <w:rPr>
        <w:rStyle w:val="Brojstranice"/>
        <w:noProof/>
      </w:rPr>
      <w:t>4</w:t>
    </w:r>
    <w:r>
      <w:rPr>
        <w:rStyle w:val="Brojstranice"/>
      </w:rPr>
      <w:fldChar w:fldCharType="end"/>
    </w:r>
  </w:p>
  <w:p w:rsidR="00872E83" w:rsidRDefault="003C5A0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C5A0B">
      <w:r>
        <w:separator/>
      </w:r>
    </w:p>
  </w:footnote>
  <w:footnote w:type="continuationSeparator" w:id="0">
    <w:p w:rsidR="00000000" w:rsidRDefault="003C5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092072"/>
    <w:multiLevelType w:val="hybridMultilevel"/>
    <w:tmpl w:val="47C2433C"/>
    <w:lvl w:ilvl="0" w:tplc="481855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398"/>
    <w:rsid w:val="003C5A0B"/>
    <w:rsid w:val="003E0D3F"/>
    <w:rsid w:val="00D6127D"/>
    <w:rsid w:val="00F26398"/>
    <w:rsid w:val="00F9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2930B-11CF-45B4-A41F-EDB2FBAF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27D"/>
    <w:pPr>
      <w:spacing w:after="0" w:line="240" w:lineRule="auto"/>
      <w:jc w:val="both"/>
    </w:pPr>
    <w:rPr>
      <w:rFonts w:ascii="CRO_Dutch-Normal" w:eastAsia="Times New Roman" w:hAnsi="CRO_Dutch-Normal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semiHidden/>
    <w:rsid w:val="00D6127D"/>
    <w:pPr>
      <w:tabs>
        <w:tab w:val="center" w:pos="4320"/>
        <w:tab w:val="right" w:pos="8640"/>
      </w:tabs>
    </w:pPr>
  </w:style>
  <w:style w:type="character" w:customStyle="1" w:styleId="PodnojeChar">
    <w:name w:val="Podnožje Char"/>
    <w:basedOn w:val="Zadanifontodlomka"/>
    <w:link w:val="Podnoje"/>
    <w:semiHidden/>
    <w:rsid w:val="00D6127D"/>
    <w:rPr>
      <w:rFonts w:ascii="CRO_Dutch-Normal" w:eastAsia="Times New Roman" w:hAnsi="CRO_Dutch-Normal" w:cs="Times New Roman"/>
      <w:sz w:val="24"/>
      <w:szCs w:val="20"/>
    </w:rPr>
  </w:style>
  <w:style w:type="character" w:styleId="Brojstranice">
    <w:name w:val="page number"/>
    <w:basedOn w:val="Zadanifontodlomka"/>
    <w:semiHidden/>
    <w:rsid w:val="00D6127D"/>
  </w:style>
  <w:style w:type="paragraph" w:styleId="Tijeloteksta">
    <w:name w:val="Body Text"/>
    <w:basedOn w:val="Normal"/>
    <w:link w:val="TijelotekstaChar"/>
    <w:semiHidden/>
    <w:rsid w:val="00D6127D"/>
    <w:rPr>
      <w:rFonts w:ascii="Courier New" w:hAnsi="Courier New"/>
      <w:b/>
    </w:rPr>
  </w:style>
  <w:style w:type="character" w:customStyle="1" w:styleId="TijelotekstaChar">
    <w:name w:val="Tijelo teksta Char"/>
    <w:basedOn w:val="Zadanifontodlomka"/>
    <w:link w:val="Tijeloteksta"/>
    <w:semiHidden/>
    <w:rsid w:val="00D6127D"/>
    <w:rPr>
      <w:rFonts w:ascii="Courier New" w:eastAsia="Times New Roman" w:hAnsi="Courier New" w:cs="Times New Roman"/>
      <w:b/>
      <w:sz w:val="24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9564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956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Milcic</dc:creator>
  <cp:keywords/>
  <dc:description/>
  <cp:lastModifiedBy>Ivica Milcic</cp:lastModifiedBy>
  <cp:revision>3</cp:revision>
  <cp:lastPrinted>2018-10-17T13:54:00Z</cp:lastPrinted>
  <dcterms:created xsi:type="dcterms:W3CDTF">2017-02-08T11:10:00Z</dcterms:created>
  <dcterms:modified xsi:type="dcterms:W3CDTF">2018-10-17T14:47:00Z</dcterms:modified>
</cp:coreProperties>
</file>